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pPr>
      <w:r>
        <w:t xml:space="preserve"/>
      </w:r>
    </w:p>
    <w:p>
      <w:pPr>
        <w:spacing w:before="0" w:after="80"/>
        <w:jc w:val="center"/>
      </w:pPr>
      <w:r>
        <w:rPr>
          <w:rFonts w:ascii="Times New Roman" w:cs="Times New Roman" w:eastAsia="Times New Roman" w:hAnsi="Times New Roman"/>
          <w:b/>
          <w:bCs/>
          <w:caps/>
          <w:color w:val="1F3864"/>
          <w:sz w:val="40"/>
          <w:szCs w:val="40"/>
        </w:rPr>
        <w:t xml:space="preserve">THÔNG TIN TUYỂN SINH</w:t>
      </w:r>
    </w:p>
    <w:p>
      <w:pPr>
        <w:spacing w:before="0" w:after="80"/>
        <w:jc w:val="center"/>
      </w:pPr>
      <w:r>
        <w:rPr>
          <w:rFonts w:ascii="Times New Roman" w:cs="Times New Roman" w:eastAsia="Times New Roman" w:hAnsi="Times New Roman"/>
          <w:b/>
          <w:bCs/>
          <w:color w:val="2E5496"/>
          <w:sz w:val="34"/>
          <w:szCs w:val="34"/>
        </w:rPr>
        <w:t xml:space="preserve">TRƯỜNG ĐẠI HỌC SƯ PHẠM TP. HCM</w:t>
      </w:r>
    </w:p>
    <w:p>
      <w:pPr>
        <w:spacing w:before="0" w:after="80"/>
        <w:jc w:val="center"/>
      </w:pPr>
      <w:r>
        <w:rPr>
          <w:rFonts w:ascii="Times New Roman" w:cs="Times New Roman" w:eastAsia="Times New Roman" w:hAnsi="Times New Roman"/>
          <w:b/>
          <w:bCs/>
          <w:color w:val="2E5496"/>
          <w:sz w:val="28"/>
          <w:szCs w:val="28"/>
        </w:rPr>
        <w:t xml:space="preserve">&amp; TRƯỜNG ĐẠI HỌC KHOA HỌC TỰ NHIÊN - ĐHQG-HCM</w:t>
      </w:r>
    </w:p>
    <w:p>
      <w:pPr>
        <w:pBdr>
          <w:top w:val="single" w:color="2E5496" w:sz="6" w:space="4"/>
        </w:pBdr>
        <w:spacing w:before="120" w:after="80"/>
        <w:jc w:val="center"/>
      </w:pPr>
      <w:r>
        <w:rPr>
          <w:rFonts w:ascii="Times New Roman" w:cs="Times New Roman" w:eastAsia="Times New Roman" w:hAnsi="Times New Roman"/>
          <w:b/>
          <w:bCs/>
          <w:color w:val="1F3864"/>
          <w:sz w:val="28"/>
          <w:szCs w:val="28"/>
        </w:rPr>
        <w:t xml:space="preserve">NĂM TUYỂN SINH 2026 (DỰ KIẾN)</w:t>
      </w:r>
    </w:p>
    <w:p>
      <w:pPr>
        <w:spacing w:before="200" w:after="0"/>
      </w:pPr>
      <w:r>
        <w:t xml:space="preserve"/>
      </w:r>
    </w:p>
    <w:p>
      <w:pPr>
        <w:spacing w:before="0" w:after="40"/>
        <w:jc w:val="center"/>
      </w:pPr>
      <w:r>
        <w:rPr>
          <w:rFonts w:ascii="Times New Roman" w:cs="Times New Roman" w:eastAsia="Times New Roman" w:hAnsi="Times New Roman"/>
          <w:i/>
          <w:iCs/>
          <w:color w:val="555555"/>
          <w:sz w:val="22"/>
          <w:szCs w:val="22"/>
        </w:rPr>
        <w:t xml:space="preserve">Tài liệu tham khảo – Lưu hành nội bộ</w:t>
      </w:r>
    </w:p>
    <w:p>
      <w:r>
        <w:br w:type="pag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I. THÔNG TIN CHUNG</w:t>
      </w:r>
    </w:p>
    <w:p>
      <w:pPr>
        <w:pStyle w:val="Heading2"/>
        <w:spacing w:before="200" w:after="80"/>
      </w:pPr>
      <w:r>
        <w:rPr>
          <w:rFonts w:ascii="Times New Roman" w:cs="Times New Roman" w:eastAsia="Times New Roman" w:hAnsi="Times New Roman"/>
          <w:b/>
          <w:bCs/>
          <w:color w:val="2E5496"/>
          <w:sz w:val="26"/>
          <w:szCs w:val="26"/>
        </w:rPr>
        <w:t xml:space="preserve">1. Trường Đại học Sư phạm TP. HCM (HCMUE)</w:t>
      </w:r>
    </w:p>
    <w:p>
      <w:pPr>
        <w:spacing w:before="60" w:after="60"/>
      </w:pPr>
      <w:r>
        <w:rPr>
          <w:rFonts w:ascii="Times New Roman" w:cs="Times New Roman" w:eastAsia="Times New Roman" w:hAnsi="Times New Roman"/>
          <w:b w:val="false"/>
          <w:bCs w:val="false"/>
          <w:i w:val="false"/>
          <w:iCs w:val="false"/>
          <w:sz w:val="24"/>
          <w:szCs w:val="24"/>
        </w:rPr>
        <w:t xml:space="preserve">Địa chỉ: 280 An Dương Vương, Phường 4, Quận 5, TP. Hồ Chí Minh.</w:t>
      </w:r>
    </w:p>
    <w:p>
      <w:pPr>
        <w:spacing w:before="60" w:after="60"/>
      </w:pPr>
      <w:r>
        <w:rPr>
          <w:rFonts w:ascii="Times New Roman" w:cs="Times New Roman" w:eastAsia="Times New Roman" w:hAnsi="Times New Roman"/>
          <w:b w:val="false"/>
          <w:bCs w:val="false"/>
          <w:i w:val="false"/>
          <w:iCs w:val="false"/>
          <w:sz w:val="24"/>
          <w:szCs w:val="24"/>
        </w:rPr>
        <w:t xml:space="preserve">Website: www.hcmue.edu.vn | Fanpage: www.facebook.com/HCMUE.VN</w:t>
      </w:r>
    </w:p>
    <w:p>
      <w:pPr>
        <w:spacing w:before="60" w:after="60"/>
      </w:pPr>
      <w:r>
        <w:rPr>
          <w:rFonts w:ascii="Times New Roman" w:cs="Times New Roman" w:eastAsia="Times New Roman" w:hAnsi="Times New Roman"/>
          <w:b w:val="false"/>
          <w:bCs w:val="false"/>
          <w:i w:val="false"/>
          <w:iCs w:val="false"/>
          <w:sz w:val="24"/>
          <w:szCs w:val="24"/>
        </w:rPr>
        <w:t xml:space="preserve">Hotline tuyển sinh ĐGNL chuyên biệt: 08 3835 2020 | Email: dgnl.hotro@hcmue.edu.vn</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2. Trường Đại học Khoa học Tự nhiên – ĐHQG-HCM (KHTN)</w:t>
      </w:r>
    </w:p>
    <w:p>
      <w:pPr>
        <w:spacing w:before="60" w:after="60"/>
      </w:pPr>
      <w:r>
        <w:rPr>
          <w:rFonts w:ascii="Times New Roman" w:cs="Times New Roman" w:eastAsia="Times New Roman" w:hAnsi="Times New Roman"/>
          <w:b w:val="false"/>
          <w:bCs w:val="false"/>
          <w:i w:val="false"/>
          <w:iCs w:val="false"/>
          <w:sz w:val="24"/>
          <w:szCs w:val="24"/>
        </w:rPr>
        <w:t xml:space="preserve">Cơ sở 1: 227 Nguyễn Văn Cừ, Phường Chợ Quán, TP. Hồ Chí Minh.</w:t>
      </w:r>
    </w:p>
    <w:p>
      <w:pPr>
        <w:spacing w:before="60" w:after="60"/>
      </w:pPr>
      <w:r>
        <w:rPr>
          <w:rFonts w:ascii="Times New Roman" w:cs="Times New Roman" w:eastAsia="Times New Roman" w:hAnsi="Times New Roman"/>
          <w:b w:val="false"/>
          <w:bCs w:val="false"/>
          <w:i w:val="false"/>
          <w:iCs w:val="false"/>
          <w:sz w:val="24"/>
          <w:szCs w:val="24"/>
        </w:rPr>
        <w:t xml:space="preserve">Cơ sở 2: Khu đô thị ĐHQG-HCM, Phường Đông Hòa, TP. Hồ Chí Minh.</w:t>
      </w:r>
    </w:p>
    <w:p>
      <w:pPr>
        <w:spacing w:before="60" w:after="60"/>
      </w:pPr>
      <w:r>
        <w:rPr>
          <w:rFonts w:ascii="Times New Roman" w:cs="Times New Roman" w:eastAsia="Times New Roman" w:hAnsi="Times New Roman"/>
          <w:b w:val="false"/>
          <w:bCs w:val="false"/>
          <w:i w:val="false"/>
          <w:iCs w:val="false"/>
          <w:sz w:val="24"/>
          <w:szCs w:val="24"/>
        </w:rPr>
        <w:t xml:space="preserve">Warmline (8:00 – 17:00): 1900.999.978</w:t>
      </w:r>
    </w:p>
    <w:p>
      <w:pPr>
        <w:spacing w:before="8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II. ĐỐI TƯỢNG VÀ ĐIỀU KIỆN TUYỂN SINH</w:t>
      </w:r>
    </w:p>
    <w:p>
      <w:pPr>
        <w:spacing w:before="60" w:after="60"/>
      </w:pPr>
      <w:r>
        <w:rPr>
          <w:rFonts w:ascii="Times New Roman" w:cs="Times New Roman" w:eastAsia="Times New Roman" w:hAnsi="Times New Roman"/>
          <w:b w:val="false"/>
          <w:bCs w:val="false"/>
          <w:i w:val="false"/>
          <w:iCs w:val="false"/>
          <w:sz w:val="24"/>
          <w:szCs w:val="24"/>
        </w:rPr>
        <w:t xml:space="preserve">Đối tượng dự tuyển được xác định tại thời điểm xét tuyển (trước khi công bố kết quả chính thức), bao gồm:</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Thí sinh đã được công nhận tốt nghiệp THPT của Việt Nam hoặc có bằng tốt nghiệp của nước ngoài được công nhận trình độ tương đương.</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Thí sinh đã có bằng tốt nghiệp trung cấp nghề thuộc cùng nhóm ngành dự tuyển và đã hoàn thành đủ yêu cầu khối lượng kiến thức văn hóa cấp THPT theo quy định của pháp luật.</w:t>
      </w:r>
    </w:p>
    <w:p>
      <w:pPr>
        <w:spacing w:before="60" w:after="0"/>
      </w:pPr>
      <w:r>
        <w:t xml:space="preserve"/>
      </w:r>
    </w:p>
    <w:p>
      <w:pPr>
        <w:spacing w:before="60" w:after="60"/>
      </w:pPr>
      <w:r>
        <w:rPr>
          <w:rFonts w:ascii="Times New Roman" w:cs="Times New Roman" w:eastAsia="Times New Roman" w:hAnsi="Times New Roman"/>
          <w:b w:val="false"/>
          <w:bCs w:val="false"/>
          <w:i w:val="false"/>
          <w:iCs w:val="false"/>
          <w:sz w:val="24"/>
          <w:szCs w:val="24"/>
        </w:rPr>
        <w:t xml:space="preserve">Mọi thí sinh (kể cả diện xét tuyển thẳng) đều phải đăng ký xét tuyển trực tuyến trên Hệ thống hỗ trợ tuyển sinh chung của Bộ GD&amp;ĐT, đăng ký nguyện vọng và nộp lệ phí xét tuyển theo quy định.</w:t>
      </w:r>
    </w:p>
    <w:p>
      <w:pPr>
        <w:spacing w:before="8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III. PHƯƠNG THỨC TUYỂN SINH</w:t>
      </w:r>
    </w:p>
    <w:p>
      <w:pPr>
        <w:spacing w:before="60" w:after="60"/>
      </w:pPr>
      <w:r>
        <w:rPr>
          <w:rFonts w:ascii="Times New Roman" w:cs="Times New Roman" w:eastAsia="Times New Roman" w:hAnsi="Times New Roman"/>
          <w:b w:val="false"/>
          <w:bCs w:val="false"/>
          <w:i w:val="false"/>
          <w:iCs w:val="false"/>
          <w:sz w:val="24"/>
          <w:szCs w:val="24"/>
        </w:rPr>
        <w:t xml:space="preserve">Cả hai trường đều áp dụng cấu trúc phương thức tuyển sinh theo quy định của Bộ GD&amp;ĐT, gồm các phương thức cơ bản được mô tả trong bảng sau:</w:t>
      </w:r>
    </w:p>
    <w:p>
      <w:pPr>
        <w:spacing w:before="80" w:after="0"/>
      </w:pPr>
      <w:r>
        <w:t xml:space="preserve"/>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400"/>
        <w:gridCol w:w="3400"/>
        <w:gridCol w:w="4200"/>
      </w:tblGrid>
      <w:tr>
        <w:trPr>
          <w:tblHeader/>
        </w:trPr>
        <w:tc>
          <w:tcPr>
            <w:tcW w:type="dxa" w:w="1400"/>
            <w:tcBorders>
              <w:top w:val="single" w:color="CCCCCC" w:sz="1"/>
              <w:left w:val="single" w:color="CCCCCC" w:sz="1"/>
              <w:bottom w:val="single" w:color="CCCCCC" w:sz="1"/>
              <w:right w:val="single" w:color="CCCCCC" w:sz="1"/>
            </w:tcBorders>
            <w:shd w:fill="2E5496" w:val="clear"/>
            <w:tcMar>
              <w:top w:type="dxa" w:w="80"/>
              <w:left w:type="dxa" w:w="130"/>
              <w:bottom w:type="dxa" w:w="80"/>
              <w:right w:type="dxa" w:w="130"/>
            </w:tcMar>
            <w:vAlign w:val="center"/>
          </w:tcPr>
          <w:p>
            <w:r>
              <w:rPr>
                <w:rFonts w:ascii="Times New Roman" w:cs="Times New Roman" w:eastAsia="Times New Roman" w:hAnsi="Times New Roman"/>
                <w:b/>
                <w:bCs/>
                <w:color w:val="FFFFFF"/>
                <w:sz w:val="20"/>
                <w:szCs w:val="20"/>
              </w:rPr>
              <w:t xml:space="preserve">Mã PT</w:t>
            </w:r>
          </w:p>
        </w:tc>
        <w:tc>
          <w:tcPr>
            <w:tcW w:type="dxa" w:w="3400"/>
            <w:tcBorders>
              <w:top w:val="single" w:color="CCCCCC" w:sz="1"/>
              <w:left w:val="single" w:color="CCCCCC" w:sz="1"/>
              <w:bottom w:val="single" w:color="CCCCCC" w:sz="1"/>
              <w:right w:val="single" w:color="CCCCCC" w:sz="1"/>
            </w:tcBorders>
            <w:shd w:fill="2E5496" w:val="clear"/>
            <w:tcMar>
              <w:top w:type="dxa" w:w="80"/>
              <w:left w:type="dxa" w:w="130"/>
              <w:bottom w:type="dxa" w:w="80"/>
              <w:right w:type="dxa" w:w="130"/>
            </w:tcMar>
            <w:vAlign w:val="center"/>
          </w:tcPr>
          <w:p>
            <w:r>
              <w:rPr>
                <w:rFonts w:ascii="Times New Roman" w:cs="Times New Roman" w:eastAsia="Times New Roman" w:hAnsi="Times New Roman"/>
                <w:b/>
                <w:bCs/>
                <w:color w:val="FFFFFF"/>
                <w:sz w:val="20"/>
                <w:szCs w:val="20"/>
              </w:rPr>
              <w:t xml:space="preserve">Tên phương thức</w:t>
            </w:r>
          </w:p>
        </w:tc>
        <w:tc>
          <w:tcPr>
            <w:tcW w:type="dxa" w:w="4200"/>
            <w:tcBorders>
              <w:top w:val="single" w:color="CCCCCC" w:sz="1"/>
              <w:left w:val="single" w:color="CCCCCC" w:sz="1"/>
              <w:bottom w:val="single" w:color="CCCCCC" w:sz="1"/>
              <w:right w:val="single" w:color="CCCCCC" w:sz="1"/>
            </w:tcBorders>
            <w:shd w:fill="2E5496" w:val="clear"/>
            <w:tcMar>
              <w:top w:type="dxa" w:w="80"/>
              <w:left w:type="dxa" w:w="130"/>
              <w:bottom w:type="dxa" w:w="80"/>
              <w:right w:type="dxa" w:w="130"/>
            </w:tcMar>
            <w:vAlign w:val="center"/>
          </w:tcPr>
          <w:p>
            <w:r>
              <w:rPr>
                <w:rFonts w:ascii="Times New Roman" w:cs="Times New Roman" w:eastAsia="Times New Roman" w:hAnsi="Times New Roman"/>
                <w:b/>
                <w:bCs/>
                <w:color w:val="FFFFFF"/>
                <w:sz w:val="20"/>
                <w:szCs w:val="20"/>
              </w:rPr>
              <w:t xml:space="preserve">Mô tả tóm tắt</w:t>
            </w:r>
          </w:p>
        </w:tc>
      </w:tr>
      <w:tr>
        <w:trPr>
          <w:tblHeader w:val="false"/>
        </w:trPr>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1a (301)</w:t>
            </w:r>
          </w:p>
        </w:tc>
        <w:tc>
          <w:tcPr>
            <w:tcW w:type="dxa" w:w="3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Xét tuyển thẳng &amp; ưu tiên xét tuyển</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Theo Thông tư 08/2022/TT-BGDĐT và Thông tư 06/2025/TT-BGDĐT của Bộ GD&amp;ĐT</w:t>
            </w:r>
          </w:p>
        </w:tc>
      </w:tr>
      <w:tr>
        <w:trPr>
          <w:tblHeader w:val="false"/>
        </w:trPr>
        <w:tc>
          <w:tcPr>
            <w:tcW w:type="dxa" w:w="14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1b (410)</w:t>
            </w:r>
          </w:p>
        </w:tc>
        <w:tc>
          <w:tcPr>
            <w:tcW w:type="dxa" w:w="34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Xét tuyển dành cho thí sinh nước ngoài</w:t>
            </w:r>
          </w:p>
        </w:tc>
        <w:tc>
          <w:tcPr>
            <w:tcW w:type="dxa" w:w="42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Dành cho thí sinh có quốc tịch nước ngoài và tốt nghiệp THPT nước ngoài; chỉ áp dụng chương trình tiên tiến/tăng cường tiếng Anh</w:t>
            </w:r>
          </w:p>
        </w:tc>
      </w:tr>
      <w:tr>
        <w:trPr>
          <w:tblHeader w:val="false"/>
        </w:trPr>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2 (500)</w:t>
            </w:r>
          </w:p>
        </w:tc>
        <w:tc>
          <w:tcPr>
            <w:tcW w:type="dxa" w:w="3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Xét tuyển kết hợp đa tiêu chí</w:t>
            </w:r>
          </w:p>
        </w:tc>
        <w:tc>
          <w:tcPr>
            <w:tcW w:type="dxa" w:w="4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Kết hợp kết quả thi tốt nghiệp THPT 2026 hoặc điểm ĐGNL do ĐHQG-HCM tổ chức, với điểm học bạ 3 năm lớp 10, 11, 12 (quy về thang 30)</w:t>
            </w:r>
          </w:p>
        </w:tc>
      </w:tr>
    </w:tbl>
    <w:p>
      <w:pPr>
        <w:spacing w:before="10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3.1. Công thức tính điểm xét tuyển (Phương thức 2 – Trường KHTN)</w:t>
      </w:r>
    </w:p>
    <w:p>
      <w:pPr>
        <w:spacing w:before="60" w:after="60"/>
      </w:pPr>
      <w:r>
        <w:rPr>
          <w:rFonts w:ascii="Times New Roman" w:cs="Times New Roman" w:eastAsia="Times New Roman" w:hAnsi="Times New Roman"/>
          <w:b w:val="false"/>
          <w:bCs w:val="false"/>
          <w:i w:val="false"/>
          <w:iCs w:val="false"/>
          <w:sz w:val="24"/>
          <w:szCs w:val="24"/>
        </w:rPr>
        <w:t xml:space="preserve">Tất cả điểm thành phần đều được chuẩn hóa về thang 30. Công thức tổng quát:</w:t>
      </w:r>
    </w:p>
    <w:p>
      <w:pPr>
        <w:spacing w:before="80" w:after="80"/>
        <w:ind w:left="720"/>
      </w:pPr>
      <w:r>
        <w:rPr>
          <w:rFonts w:ascii="Times New Roman" w:cs="Times New Roman" w:eastAsia="Times New Roman" w:hAnsi="Times New Roman"/>
          <w:b/>
          <w:bCs/>
          <w:color w:val="1F3864"/>
          <w:sz w:val="24"/>
          <w:szCs w:val="24"/>
        </w:rPr>
        <w:t xml:space="preserve">Điểm xét tuyển = Điểm học lực + Điểm cộng + Điểm ưu tiên</w:t>
      </w:r>
    </w:p>
    <w:p>
      <w:pPr>
        <w:spacing w:before="60" w:after="60"/>
      </w:pPr>
      <w:r>
        <w:rPr>
          <w:rFonts w:ascii="Times New Roman" w:cs="Times New Roman" w:eastAsia="Times New Roman" w:hAnsi="Times New Roman"/>
          <w:b w:val="false"/>
          <w:bCs w:val="false"/>
          <w:i w:val="false"/>
          <w:iCs w:val="false"/>
          <w:sz w:val="24"/>
          <w:szCs w:val="24"/>
        </w:rPr>
        <w:t xml:space="preserve">Trong đó:</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học lực = max(Điểm học lực theo THPT, Điểm học lực theo ĐGNL)</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học lực theo THPT = w1 × Điểm thi THPT + w2 × Điểm học bạ (w1 ∈ [0,7; 0,9]; w2 ∈ [0,1; 0,3])</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học lực theo ĐGNL = w3 × Điểm ĐGNL quy đổi + w4 × Điểm học bạ</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ĐGNL quy đổi = (Điểm thi ĐGNL / Điểm thi cao nhất) × 30</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ưu tiên được điều chỉnh theo công thức giảm dần đối với thí sinh có tổng điểm từ 22,5 trở lên.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cộng thưởng tối đa là 5% thang điểm tối đa (tương đương 1,5 điểm trên thang 30), giảm dần khi điểm tổng từ 28,5 trở lên.</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3.2. Công thức tính điểm xét tuyển ĐGNL Chuyên biệt (Trường HCMUE)</w:t>
      </w:r>
    </w:p>
    <w:p>
      <w:pPr>
        <w:spacing w:before="60" w:after="60"/>
      </w:pPr>
      <w:r>
        <w:rPr>
          <w:rFonts w:ascii="Times New Roman" w:cs="Times New Roman" w:eastAsia="Times New Roman" w:hAnsi="Times New Roman"/>
          <w:b w:val="false"/>
          <w:bCs w:val="false"/>
          <w:i w:val="false"/>
          <w:iCs w:val="false"/>
          <w:sz w:val="24"/>
          <w:szCs w:val="24"/>
        </w:rPr>
        <w:t xml:space="preserve">Áp dụng cho phương thức xét tuyển kết hợp ĐGNL chuyên biệt và học bạ THPT:</w:t>
      </w:r>
    </w:p>
    <w:p>
      <w:pPr>
        <w:spacing w:before="80" w:after="80"/>
        <w:ind w:left="720"/>
      </w:pPr>
      <w:r>
        <w:rPr>
          <w:rFonts w:ascii="Times New Roman" w:cs="Times New Roman" w:eastAsia="Times New Roman" w:hAnsi="Times New Roman"/>
          <w:b/>
          <w:bCs/>
          <w:color w:val="1F3864"/>
          <w:sz w:val="24"/>
          <w:szCs w:val="24"/>
        </w:rPr>
        <w:t xml:space="preserve">ĐXT = (0,5 × ĐMC + 0,25 × ĐM1 + 0,25 × ĐM2) × 3 + ĐUT</w:t>
      </w:r>
    </w:p>
    <w:p>
      <w:pPr>
        <w:spacing w:before="60" w:after="60"/>
      </w:pPr>
      <w:r>
        <w:rPr>
          <w:rFonts w:ascii="Times New Roman" w:cs="Times New Roman" w:eastAsia="Times New Roman" w:hAnsi="Times New Roman"/>
          <w:b w:val="false"/>
          <w:bCs w:val="false"/>
          <w:i w:val="false"/>
          <w:iCs w:val="false"/>
          <w:sz w:val="24"/>
          <w:szCs w:val="24"/>
        </w:rPr>
        <w:t xml:space="preserve">Trong đó:</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ĐMC: điểm môn chính lấy từ kết quả thi ĐGNL chuyên biệt (quy về thang 10).</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ĐM1, ĐM2: điểm trung bình 06 học kỳ THPT của hai môn còn lại trong tổ hợp.</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ĐUT: điểm ưu tiên đối tượng, khu vực theo quy định của Bộ GD&amp;ĐT.</w:t>
      </w:r>
    </w:p>
    <w:p>
      <w:pPr>
        <w:spacing w:before="10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IV. KỲ THI ĐÁNH GIÁ NĂNG LỰC CHUYÊN BIỆT (H-SCA)</w:t>
      </w:r>
    </w:p>
    <w:p>
      <w:pPr>
        <w:spacing w:before="60" w:after="60"/>
      </w:pPr>
      <w:r>
        <w:rPr>
          <w:rFonts w:ascii="Times New Roman" w:cs="Times New Roman" w:eastAsia="Times New Roman" w:hAnsi="Times New Roman"/>
          <w:b w:val="false"/>
          <w:bCs w:val="false"/>
          <w:i w:val="false"/>
          <w:iCs w:val="false"/>
          <w:sz w:val="24"/>
          <w:szCs w:val="24"/>
        </w:rPr>
        <w:t xml:space="preserve">Kỳ thi Đánh giá năng lực chuyên biệt (H-SCA) do Trường Đại học Sư phạm TP. HCM tổ chức, từ năm 2025 mở rộng phục vụ tuyển sinh cho nhiều trường đại học trên cả nước.</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4.1. Quá trình phát triển kỳ thi</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Năm 2022: 01 đợt thi, 1.972 lượt thí sinh tham dự.</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Năm 2023: 02 đợt thi, 4.362 lượt thí sinh tham dự.</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Năm 2024: 05 đợt thi, mở rộng địa điểm (Long An, Gia Lai, Đà Nẵng), 8.540 lượt thí sinh tham dự.</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Từ năm 2025: tiếp tục mở rộng quy mô, phục vụ tuyển sinh cho nhiều trường đại học trong cả nước.</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4.2. Cấu trúc đề thi (áp dụng từ năm 2025)</w:t>
      </w:r>
    </w:p>
    <w:p>
      <w:pPr>
        <w:spacing w:before="60" w:after="60"/>
      </w:pPr>
      <w:r>
        <w:rPr>
          <w:rFonts w:ascii="Times New Roman" w:cs="Times New Roman" w:eastAsia="Times New Roman" w:hAnsi="Times New Roman"/>
          <w:b w:val="false"/>
          <w:bCs w:val="false"/>
          <w:i w:val="false"/>
          <w:iCs w:val="false"/>
          <w:sz w:val="24"/>
          <w:szCs w:val="24"/>
        </w:rPr>
        <w:t xml:space="preserve">Hình thức: Thí sinh làm bài hoàn toàn trên máy tính.</w:t>
      </w:r>
    </w:p>
    <w:p>
      <w:pPr>
        <w:spacing w:before="60" w:after="0"/>
      </w:pPr>
      <w:r>
        <w:t xml:space="preserve"/>
      </w:r>
    </w:p>
    <w:p>
      <w:pPr>
        <w:spacing w:before="160" w:after="60"/>
      </w:pPr>
      <w:r>
        <w:rPr>
          <w:rFonts w:ascii="Times New Roman" w:cs="Times New Roman" w:eastAsia="Times New Roman" w:hAnsi="Times New Roman"/>
          <w:b/>
          <w:bCs/>
          <w:i/>
          <w:iCs/>
          <w:color w:val="1F3864"/>
          <w:sz w:val="24"/>
          <w:szCs w:val="24"/>
        </w:rPr>
        <w:t xml:space="preserve">a) Bài thi Toán, Vật lý, Hóa học, Sinh học</w:t>
      </w:r>
    </w:p>
    <w:p>
      <w:pPr>
        <w:spacing w:before="60" w:after="60"/>
      </w:pPr>
      <w:r>
        <w:rPr>
          <w:rFonts w:ascii="Times New Roman" w:cs="Times New Roman" w:eastAsia="Times New Roman" w:hAnsi="Times New Roman"/>
          <w:b w:val="false"/>
          <w:bCs w:val="false"/>
          <w:i w:val="false"/>
          <w:iCs w:val="false"/>
          <w:sz w:val="24"/>
          <w:szCs w:val="24"/>
        </w:rPr>
        <w:t xml:space="preserve">Thời gian làm bài: 90 phút. Bài thi gồm 40 câu hỏi chia thành 3 phần: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1 (25 câu): Trắc nghiệm đơn – 20 câu 4 phương án (1 đáp án đúng) và 05 câu nhiều lựa chọn (nhiều đáp án đúng).</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2 (5 câu): Câu hỏi tổng hợp dựa trên dữ liệu, khai thác ngữ liệu – dạng trắc nghiệm 4 phương án.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3 (10 câu): Điền đáp số đúng.</w:t>
      </w:r>
    </w:p>
    <w:p>
      <w:pPr>
        <w:spacing w:before="60" w:after="0"/>
      </w:pPr>
      <w:r>
        <w:t xml:space="preserve"/>
      </w:r>
    </w:p>
    <w:p>
      <w:pPr>
        <w:spacing w:before="160" w:after="60"/>
      </w:pPr>
      <w:r>
        <w:rPr>
          <w:rFonts w:ascii="Times New Roman" w:cs="Times New Roman" w:eastAsia="Times New Roman" w:hAnsi="Times New Roman"/>
          <w:b/>
          <w:bCs/>
          <w:i/>
          <w:iCs/>
          <w:color w:val="1F3864"/>
          <w:sz w:val="24"/>
          <w:szCs w:val="24"/>
        </w:rPr>
        <w:t xml:space="preserve">b) Bài thi Ngữ văn</w:t>
      </w:r>
    </w:p>
    <w:p>
      <w:pPr>
        <w:spacing w:before="60" w:after="60"/>
      </w:pPr>
      <w:r>
        <w:rPr>
          <w:rFonts w:ascii="Times New Roman" w:cs="Times New Roman" w:eastAsia="Times New Roman" w:hAnsi="Times New Roman"/>
          <w:b w:val="false"/>
          <w:bCs w:val="false"/>
          <w:i w:val="false"/>
          <w:iCs w:val="false"/>
          <w:sz w:val="24"/>
          <w:szCs w:val="24"/>
        </w:rPr>
        <w:t xml:space="preserve">Thời gian làm bài: 90 phút. Bài thi gồm 22 câu chia thành 3 phần: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1 (20 câu): Đọc hiểu – trắc nghiệm khách quan nhiều lựa chọn.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2 (01 câu): Viết đoạn – câu hỏi tự luận.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Phần 3 (01 câu): Viết bài – câu hỏi tự luận.</w:t>
      </w:r>
    </w:p>
    <w:p>
      <w:pPr>
        <w:spacing w:before="60" w:after="0"/>
      </w:pPr>
      <w:r>
        <w:t xml:space="preserve"/>
      </w:r>
    </w:p>
    <w:p>
      <w:pPr>
        <w:spacing w:before="160" w:after="60"/>
      </w:pPr>
      <w:r>
        <w:rPr>
          <w:rFonts w:ascii="Times New Roman" w:cs="Times New Roman" w:eastAsia="Times New Roman" w:hAnsi="Times New Roman"/>
          <w:b/>
          <w:bCs/>
          <w:i/>
          <w:iCs/>
          <w:color w:val="1F3864"/>
          <w:sz w:val="24"/>
          <w:szCs w:val="24"/>
        </w:rPr>
        <w:t xml:space="preserve">c) Bài thi Tiếng Anh</w:t>
      </w:r>
    </w:p>
    <w:p>
      <w:pPr>
        <w:spacing w:before="60" w:after="60"/>
      </w:pPr>
      <w:r>
        <w:rPr>
          <w:rFonts w:ascii="Times New Roman" w:cs="Times New Roman" w:eastAsia="Times New Roman" w:hAnsi="Times New Roman"/>
          <w:b w:val="false"/>
          <w:bCs w:val="false"/>
          <w:i w:val="false"/>
          <w:iCs w:val="false"/>
          <w:sz w:val="24"/>
          <w:szCs w:val="24"/>
        </w:rPr>
        <w:t xml:space="preserve">Thời gian làm bài: 180 phút. Đánh giá năng lực từ bậc 3 đến bậc 5 theo Khung năng lực ngoại ngữ 6 bậc của Việt Nam. Bài thi gồm 4 phần tương ứng 4 kỹ năng: Nghe, Nói, Đọc, Viết.</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4.3. Nội dung kiến thức</w:t>
      </w:r>
    </w:p>
    <w:p>
      <w:pPr>
        <w:spacing w:before="60" w:after="60"/>
      </w:pPr>
      <w:r>
        <w:rPr>
          <w:rFonts w:ascii="Times New Roman" w:cs="Times New Roman" w:eastAsia="Times New Roman" w:hAnsi="Times New Roman"/>
          <w:b w:val="false"/>
          <w:bCs w:val="false"/>
          <w:i w:val="false"/>
          <w:iCs w:val="false"/>
          <w:sz w:val="24"/>
          <w:szCs w:val="24"/>
        </w:rPr>
        <w:t xml:space="preserve">Nội dung kiến thức bám sát Chương trình Giáo dục Phổ thông 2018:</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Lớp 12 chiếm khoảng 70–80% nội dung bài thi.</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Lớp 10 và 11 chiếm khoảng 20–30% còn lại.</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4.4. Quy định về máy tính bỏ túi</w:t>
      </w:r>
    </w:p>
    <w:p>
      <w:pPr>
        <w:spacing w:before="60" w:after="60"/>
      </w:pPr>
      <w:r>
        <w:rPr>
          <w:rFonts w:ascii="Times New Roman" w:cs="Times New Roman" w:eastAsia="Times New Roman" w:hAnsi="Times New Roman"/>
          <w:b w:val="false"/>
          <w:bCs w:val="false"/>
          <w:i w:val="false"/>
          <w:iCs w:val="false"/>
          <w:sz w:val="24"/>
          <w:szCs w:val="24"/>
        </w:rPr>
        <w:t xml:space="preserve">Đối với các môn Toán, Vật lý, Hóa học, Sinh học, thí sinh được phép mang máy tính bỏ túi không có chức năng soạn thảo văn bản và không có thẻ nhớ. Danh mục các loại máy tính được phép sử dụng:</w:t>
      </w:r>
    </w:p>
    <w:p>
      <w:pPr>
        <w:spacing w:before="80" w:after="0"/>
      </w:pPr>
      <w:r>
        <w:t xml:space="preserve"/>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500"/>
        <w:gridCol w:w="7500"/>
      </w:tblGrid>
      <w:tr>
        <w:trPr>
          <w:tblHeader/>
        </w:trPr>
        <w:tc>
          <w:tcPr>
            <w:tcW w:type="dxa" w:w="1500"/>
            <w:tcBorders>
              <w:top w:val="single" w:color="CCCCCC" w:sz="1"/>
              <w:left w:val="single" w:color="CCCCCC" w:sz="1"/>
              <w:bottom w:val="single" w:color="CCCCCC" w:sz="1"/>
              <w:right w:val="single" w:color="CCCCCC" w:sz="1"/>
            </w:tcBorders>
            <w:shd w:fill="2E5496" w:val="clear"/>
            <w:tcMar>
              <w:top w:type="dxa" w:w="80"/>
              <w:left w:type="dxa" w:w="130"/>
              <w:bottom w:type="dxa" w:w="80"/>
              <w:right w:type="dxa" w:w="130"/>
            </w:tcMar>
            <w:vAlign w:val="center"/>
          </w:tcPr>
          <w:p>
            <w:r>
              <w:rPr>
                <w:rFonts w:ascii="Times New Roman" w:cs="Times New Roman" w:eastAsia="Times New Roman" w:hAnsi="Times New Roman"/>
                <w:b/>
                <w:bCs/>
                <w:color w:val="FFFFFF"/>
                <w:sz w:val="20"/>
                <w:szCs w:val="20"/>
              </w:rPr>
              <w:t xml:space="preserve">Hãng sản xuất</w:t>
            </w:r>
          </w:p>
        </w:tc>
        <w:tc>
          <w:tcPr>
            <w:tcW w:type="dxa" w:w="7500"/>
            <w:tcBorders>
              <w:top w:val="single" w:color="CCCCCC" w:sz="1"/>
              <w:left w:val="single" w:color="CCCCCC" w:sz="1"/>
              <w:bottom w:val="single" w:color="CCCCCC" w:sz="1"/>
              <w:right w:val="single" w:color="CCCCCC" w:sz="1"/>
            </w:tcBorders>
            <w:shd w:fill="2E5496" w:val="clear"/>
            <w:tcMar>
              <w:top w:type="dxa" w:w="80"/>
              <w:left w:type="dxa" w:w="130"/>
              <w:bottom w:type="dxa" w:w="80"/>
              <w:right w:type="dxa" w:w="130"/>
            </w:tcMar>
            <w:vAlign w:val="center"/>
          </w:tcPr>
          <w:p>
            <w:r>
              <w:rPr>
                <w:rFonts w:ascii="Times New Roman" w:cs="Times New Roman" w:eastAsia="Times New Roman" w:hAnsi="Times New Roman"/>
                <w:b/>
                <w:bCs/>
                <w:color w:val="FFFFFF"/>
                <w:sz w:val="20"/>
                <w:szCs w:val="20"/>
              </w:rPr>
              <w:t xml:space="preserve">Các dòng máy được phép sử dụng</w:t>
            </w:r>
          </w:p>
        </w:tc>
      </w:tr>
      <w:tr>
        <w:trPr>
          <w:tblHeader w:val="false"/>
        </w:trPr>
        <w:tc>
          <w:tcPr>
            <w:tcW w:type="dxa" w:w="1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Casio</w:t>
            </w:r>
          </w:p>
        </w:tc>
        <w:tc>
          <w:tcPr>
            <w:tcW w:type="dxa" w:w="7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FX-500MS, FX-570MS, FX-570ES Plus, FX-570VN Plus, FX-580VN X, FX-880BTG</w:t>
            </w:r>
          </w:p>
        </w:tc>
      </w:tr>
      <w:tr>
        <w:trPr>
          <w:tblHeader w:val="false"/>
        </w:trPr>
        <w:tc>
          <w:tcPr>
            <w:tcW w:type="dxa" w:w="1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VinaCal</w:t>
            </w:r>
          </w:p>
        </w:tc>
        <w:tc>
          <w:tcPr>
            <w:tcW w:type="dxa" w:w="7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500MS, 570MS, 570ES Plus, 570ES Plus II, 570EX Plus, 680EX Plus</w:t>
            </w:r>
          </w:p>
        </w:tc>
      </w:tr>
      <w:tr>
        <w:trPr>
          <w:tblHeader w:val="false"/>
        </w:trPr>
        <w:tc>
          <w:tcPr>
            <w:tcW w:type="dxa" w:w="1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Catel NT / Caviet</w:t>
            </w:r>
          </w:p>
        </w:tc>
        <w:tc>
          <w:tcPr>
            <w:tcW w:type="dxa" w:w="7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NT-570ES Plus II, NT-570ES Plus, NT-500MS, NT-570VN Plus, NT-580EX, NT-570NS, NT-690VE X</w:t>
            </w:r>
          </w:p>
        </w:tc>
      </w:tr>
      <w:tr>
        <w:trPr>
          <w:tblHeader w:val="false"/>
        </w:trPr>
        <w:tc>
          <w:tcPr>
            <w:tcW w:type="dxa" w:w="1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Thiên Long Flexio</w:t>
            </w:r>
          </w:p>
        </w:tc>
        <w:tc>
          <w:tcPr>
            <w:tcW w:type="dxa" w:w="7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FX590VN, FX680VN</w:t>
            </w:r>
          </w:p>
        </w:tc>
      </w:tr>
      <w:tr>
        <w:trPr>
          <w:tblHeader w:val="false"/>
        </w:trPr>
        <w:tc>
          <w:tcPr>
            <w:tcW w:type="dxa" w:w="1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Deli</w:t>
            </w:r>
          </w:p>
        </w:tc>
        <w:tc>
          <w:tcPr>
            <w:tcW w:type="dxa" w:w="7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W1710, WD991ES</w:t>
            </w:r>
          </w:p>
        </w:tc>
      </w:tr>
      <w:tr>
        <w:trPr>
          <w:tblHeader w:val="false"/>
        </w:trPr>
        <w:tc>
          <w:tcPr>
            <w:tcW w:type="dxa" w:w="1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Eras</w:t>
            </w:r>
          </w:p>
        </w:tc>
        <w:tc>
          <w:tcPr>
            <w:tcW w:type="dxa" w:w="7500"/>
            <w:tcBorders>
              <w:top w:val="single" w:color="CCCCCC" w:sz="1"/>
              <w:left w:val="single" w:color="CCCCCC" w:sz="1"/>
              <w:bottom w:val="single" w:color="CCCCCC" w:sz="1"/>
              <w:right w:val="single" w:color="CCCCCC" w:sz="1"/>
            </w:tcBorders>
            <w:shd w:fill="EEF4FA"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E370, E371, E372, E379, E380</w:t>
            </w:r>
          </w:p>
        </w:tc>
      </w:tr>
      <w:tr>
        <w:trPr>
          <w:tblHeader w:val="false"/>
        </w:trPr>
        <w:tc>
          <w:tcPr>
            <w:tcW w:type="dxa" w:w="1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Vinaplus</w:t>
            </w:r>
          </w:p>
        </w:tc>
        <w:tc>
          <w:tcPr>
            <w:tcW w:type="dxa" w:w="75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center"/>
          </w:tcPr>
          <w:p>
            <w:r>
              <w:rPr>
                <w:rFonts w:ascii="Times New Roman" w:cs="Times New Roman" w:eastAsia="Times New Roman" w:hAnsi="Times New Roman"/>
                <w:b w:val="false"/>
                <w:bCs w:val="false"/>
                <w:color w:val="222222"/>
                <w:sz w:val="20"/>
                <w:szCs w:val="20"/>
              </w:rPr>
              <w:t xml:space="preserve">FX-580VNX Plus II, FX-580 X, FX-580VN Plus, FX-570VN Plus, FX-570MS</w:t>
            </w:r>
          </w:p>
        </w:tc>
      </w:tr>
    </w:tbl>
    <w:p>
      <w:pPr>
        <w:spacing w:before="10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4.5. Lịch trình tổ chức Kỳ thi ĐGNL Chuyên biệt năm 2026</w:t>
      </w:r>
    </w:p>
    <w:p>
      <w:pPr>
        <w:spacing w:before="80" w:after="0"/>
      </w:pPr>
      <w:r>
        <w:t xml:space="preserve"/>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2200"/>
        <w:gridCol w:w="2200"/>
        <w:gridCol w:w="2200"/>
        <w:gridCol w:w="2400"/>
      </w:tblGrid>
      <w:tr>
        <w:trPr>
          <w:tblHeader/>
        </w:trPr>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0"/>
                <w:szCs w:val="20"/>
              </w:rPr>
              <w:t xml:space="preserve">Nội dung</w:t>
            </w:r>
          </w:p>
        </w:tc>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0"/>
                <w:szCs w:val="20"/>
              </w:rPr>
              <w:t xml:space="preserve">Đợt 1</w:t>
            </w:r>
          </w:p>
        </w:tc>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0"/>
                <w:szCs w:val="20"/>
              </w:rPr>
              <w:t xml:space="preserve">Đợt 2</w:t>
            </w:r>
          </w:p>
        </w:tc>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FFFFFF"/>
                <w:sz w:val="20"/>
                <w:szCs w:val="20"/>
              </w:rPr>
              <w:t xml:space="preserve">Đợt 3</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Đăng ký tài khoản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12/01 – 25/01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30/3 – 05/4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30/3 – 05/4</w:t>
            </w:r>
          </w:p>
        </w:tc>
      </w:tr>
      <w:tr>
        <w:trPr>
          <w:tblHeader w:val="false"/>
        </w:trPr>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Đăng ký dự thi (trực tuyến)</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25/02 – 12/3</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06/4 – 13/4</w:t>
            </w:r>
          </w:p>
        </w:tc>
        <w:tc>
          <w:tcPr>
            <w:tcW w:type="dxa" w:w="24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20/4 – 29/4</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Thông báo thông tin dự thi</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20/3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30/4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18/5</w:t>
            </w:r>
          </w:p>
        </w:tc>
      </w:tr>
      <w:tr>
        <w:trPr>
          <w:tblHeader w:val="false"/>
        </w:trPr>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Lịch thi</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26, 27, 28, 29/3</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07, 08, 09, 10/5</w:t>
            </w:r>
          </w:p>
        </w:tc>
        <w:tc>
          <w:tcPr>
            <w:tcW w:type="dxa" w:w="24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29, 30, 31/5</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Công bố kết quả thi</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15/4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25/5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15/6</w:t>
            </w:r>
          </w:p>
        </w:tc>
      </w:tr>
      <w:tr>
        <w:trPr>
          <w:tblHeader w:val="false"/>
        </w:trPr>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Nhận đăng ký phúc khảo</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15/4 – 18/4</w:t>
            </w:r>
          </w:p>
        </w:tc>
        <w:tc>
          <w:tcPr>
            <w:tcW w:type="dxa" w:w="22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25/5 – 28/5</w:t>
            </w:r>
          </w:p>
        </w:tc>
        <w:tc>
          <w:tcPr>
            <w:tcW w:type="dxa" w:w="2400"/>
            <w:tcBorders>
              <w:top w:val="single" w:color="CCCCCC" w:sz="1"/>
              <w:left w:val="single" w:color="CCCCCC" w:sz="1"/>
              <w:bottom w:val="single" w:color="CCCCCC" w:sz="1"/>
              <w:right w:val="single" w:color="CCCCCC" w:sz="1"/>
            </w:tcBorders>
            <w:shd w:fill="EEF4FA"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15/6 – 18/6</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Times New Roman" w:cs="Times New Roman" w:eastAsia="Times New Roman" w:hAnsi="Times New Roman"/>
                <w:b/>
                <w:bCs/>
                <w:color w:val="222222"/>
                <w:sz w:val="20"/>
                <w:szCs w:val="20"/>
              </w:rPr>
              <w:t xml:space="preserve">Công bố kết quả phúc khảo</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30/4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15/6</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color w:val="222222"/>
                <w:sz w:val="20"/>
                <w:szCs w:val="20"/>
              </w:rPr>
              <w:t xml:space="preserve">Trước 25/6</w:t>
            </w:r>
          </w:p>
        </w:tc>
      </w:tr>
    </w:tbl>
    <w:p>
      <w:pPr>
        <w:spacing w:before="8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4.6. Hướng dẫn đăng ký dự thi ĐGNL Chuyên biệt 2026</w:t>
      </w:r>
    </w:p>
    <w:p>
      <w:pPr>
        <w:spacing w:before="60" w:after="60"/>
      </w:pPr>
      <w:r>
        <w:rPr>
          <w:rFonts w:ascii="Times New Roman" w:cs="Times New Roman" w:eastAsia="Times New Roman" w:hAnsi="Times New Roman"/>
          <w:b w:val="false"/>
          <w:bCs w:val="false"/>
          <w:i w:val="false"/>
          <w:iCs w:val="false"/>
          <w:sz w:val="24"/>
          <w:szCs w:val="24"/>
        </w:rPr>
        <w:t xml:space="preserve">Cổng đăng ký: https://dkdgnl.hcmue.edu.vn/ | Cổng đăng ký mở đợt 1: 11 giờ 30 ngày 25/02/2026.</w:t>
      </w:r>
    </w:p>
    <w:p>
      <w:pPr>
        <w:spacing w:before="60" w:after="0"/>
      </w:pPr>
      <w:r>
        <w:t xml:space="preserve"/>
      </w:r>
    </w:p>
    <w:p>
      <w:pPr>
        <w:spacing w:before="60" w:after="60"/>
      </w:pPr>
      <w:r>
        <w:rPr>
          <w:rFonts w:ascii="Times New Roman" w:cs="Times New Roman" w:eastAsia="Times New Roman" w:hAnsi="Times New Roman"/>
          <w:b/>
          <w:bCs/>
          <w:i w:val="false"/>
          <w:iCs w:val="false"/>
          <w:sz w:val="24"/>
          <w:szCs w:val="24"/>
        </w:rPr>
        <w:t xml:space="preserve">Thí sinh thực hiện đăng ký theo trình tự 5 bước sau:</w:t>
      </w:r>
    </w:p>
    <w:p>
      <w:pPr>
        <w:spacing w:before="60" w:after="40"/>
        <w:ind w:left="360"/>
      </w:pPr>
      <w:r>
        <w:rPr>
          <w:rFonts w:ascii="Times New Roman" w:cs="Times New Roman" w:eastAsia="Times New Roman" w:hAnsi="Times New Roman"/>
          <w:b/>
          <w:bCs/>
          <w:sz w:val="24"/>
          <w:szCs w:val="24"/>
        </w:rPr>
        <w:t xml:space="preserve">Bước 1 – Đăng nhập tài khoản:</w:t>
      </w:r>
    </w:p>
    <w:p>
      <w:pPr>
        <w:spacing w:before="60" w:after="60"/>
        <w:ind w:left="360"/>
      </w:pPr>
      <w:r>
        <w:rPr>
          <w:rFonts w:ascii="Times New Roman" w:cs="Times New Roman" w:eastAsia="Times New Roman" w:hAnsi="Times New Roman"/>
          <w:b w:val="false"/>
          <w:bCs w:val="false"/>
          <w:i w:val="false"/>
          <w:iCs w:val="false"/>
          <w:sz w:val="24"/>
          <w:szCs w:val="24"/>
        </w:rPr>
        <w:t xml:space="preserve">Truy cập dkdgnl.hcmue.edu.vn, chọn mục 'Đăng ký dự thi ĐGNL chuyên biệt' và đăng nhập bằng tài khoản đã đăng ký trước đó. Lưu ý: tài khoản phải là số CCCD/CC chính xác của thí sinh.</w:t>
      </w:r>
    </w:p>
    <w:p>
      <w:pPr>
        <w:spacing w:before="60" w:after="40"/>
        <w:ind w:left="360"/>
      </w:pPr>
      <w:r>
        <w:rPr>
          <w:rFonts w:ascii="Times New Roman" w:cs="Times New Roman" w:eastAsia="Times New Roman" w:hAnsi="Times New Roman"/>
          <w:b/>
          <w:bCs/>
          <w:sz w:val="24"/>
          <w:szCs w:val="24"/>
        </w:rPr>
        <w:t xml:space="preserve">Bước 2 – Lựa chọn đợt thi, ca thi, môn thi:</w:t>
      </w:r>
    </w:p>
    <w:p>
      <w:pPr>
        <w:spacing w:before="60" w:after="60"/>
        <w:ind w:left="360"/>
      </w:pPr>
      <w:r>
        <w:rPr>
          <w:rFonts w:ascii="Times New Roman" w:cs="Times New Roman" w:eastAsia="Times New Roman" w:hAnsi="Times New Roman"/>
          <w:b w:val="false"/>
          <w:bCs w:val="false"/>
          <w:i w:val="false"/>
          <w:iCs w:val="false"/>
          <w:sz w:val="24"/>
          <w:szCs w:val="24"/>
        </w:rPr>
        <w:t xml:space="preserve">Chọn mục 'Đăng ký dự thi', sau đó chọn đợt thi và môn thi theo nguyện vọng. Mỗi ca thi chỉ được chọn một môn; mỗi môn trong cùng một đợt chỉ được đăng ký một ca. Số '0' tại ca thi tương ứng có nghĩa là đã hết chỗ.</w:t>
      </w:r>
    </w:p>
    <w:p>
      <w:pPr>
        <w:spacing w:before="60" w:after="40"/>
        <w:ind w:left="360"/>
      </w:pPr>
      <w:r>
        <w:rPr>
          <w:rFonts w:ascii="Times New Roman" w:cs="Times New Roman" w:eastAsia="Times New Roman" w:hAnsi="Times New Roman"/>
          <w:b/>
          <w:bCs/>
          <w:sz w:val="24"/>
          <w:szCs w:val="24"/>
        </w:rPr>
        <w:t xml:space="preserve">Bước 3 – Nộp lệ phí thi:</w:t>
      </w:r>
    </w:p>
    <w:p>
      <w:pPr>
        <w:spacing w:before="60" w:after="60"/>
        <w:ind w:left="360"/>
      </w:pPr>
      <w:r>
        <w:rPr>
          <w:rFonts w:ascii="Times New Roman" w:cs="Times New Roman" w:eastAsia="Times New Roman" w:hAnsi="Times New Roman"/>
          <w:b w:val="false"/>
          <w:bCs w:val="false"/>
          <w:i w:val="false"/>
          <w:iCs w:val="false"/>
          <w:sz w:val="24"/>
          <w:szCs w:val="24"/>
        </w:rPr>
        <w:t xml:space="preserve">Kiểm tra kỹ thông tin môn thi, ca thi và số tiền, sau đó nhấn 'Nộp lệ phí thi' và hoàn tất thanh toán. Thí sinh đã thanh toán không được điều chỉnh môn thi, ca thi. Nếu sau 24 giờ tài khoản chưa cập nhật trạng thái thanh toán, gửi email đến hotro@hcmue.edu.vn với tiêu đề 'Kiểm tra thanh toán – CCCD' kèm minh chứng chuyển khoản.</w:t>
      </w:r>
    </w:p>
    <w:p>
      <w:pPr>
        <w:spacing w:before="60" w:after="40"/>
        <w:ind w:left="360"/>
      </w:pPr>
      <w:r>
        <w:rPr>
          <w:rFonts w:ascii="Times New Roman" w:cs="Times New Roman" w:eastAsia="Times New Roman" w:hAnsi="Times New Roman"/>
          <w:b/>
          <w:bCs/>
          <w:sz w:val="24"/>
          <w:szCs w:val="24"/>
        </w:rPr>
        <w:t xml:space="preserve">Bước 4 – Kiểm tra kết quả đăng ký:</w:t>
      </w:r>
    </w:p>
    <w:p>
      <w:pPr>
        <w:spacing w:before="60" w:after="60"/>
        <w:ind w:left="360"/>
      </w:pPr>
      <w:r>
        <w:rPr>
          <w:rFonts w:ascii="Times New Roman" w:cs="Times New Roman" w:eastAsia="Times New Roman" w:hAnsi="Times New Roman"/>
          <w:b w:val="false"/>
          <w:bCs w:val="false"/>
          <w:i w:val="false"/>
          <w:iCs w:val="false"/>
          <w:sz w:val="24"/>
          <w:szCs w:val="24"/>
        </w:rPr>
        <w:t xml:space="preserve">Chọn mục 'Kết quả đăng ký' để xác nhận thông tin. Nếu chưa thanh toán, nhấn 'Xem chi tiết' để quay lại trang nộp lệ phí.</w:t>
      </w:r>
    </w:p>
    <w:p>
      <w:pPr>
        <w:spacing w:before="60" w:after="40"/>
        <w:ind w:left="360"/>
      </w:pPr>
      <w:r>
        <w:rPr>
          <w:rFonts w:ascii="Times New Roman" w:cs="Times New Roman" w:eastAsia="Times New Roman" w:hAnsi="Times New Roman"/>
          <w:b/>
          <w:bCs/>
          <w:sz w:val="24"/>
          <w:szCs w:val="24"/>
        </w:rPr>
        <w:t xml:space="preserve">Bước 5 – Theo dõi thông tin dự thi:</w:t>
      </w:r>
    </w:p>
    <w:p>
      <w:pPr>
        <w:spacing w:before="60" w:after="60"/>
        <w:ind w:left="360"/>
      </w:pPr>
      <w:r>
        <w:rPr>
          <w:rFonts w:ascii="Times New Roman" w:cs="Times New Roman" w:eastAsia="Times New Roman" w:hAnsi="Times New Roman"/>
          <w:b w:val="false"/>
          <w:bCs w:val="false"/>
          <w:i w:val="false"/>
          <w:iCs w:val="false"/>
          <w:sz w:val="24"/>
          <w:szCs w:val="24"/>
        </w:rPr>
        <w:t xml:space="preserve">Theo dõi thông báo trên các kênh truyền thông của Trường. Giấy báo dự thi sẽ được gửi vào tài khoản trước ngày thi. Khi đến phòng thi, thí sinh chỉ mang theo CCCD/CC và máy tính bỏ túi theo quy định.</w:t>
      </w:r>
    </w:p>
    <w:p>
      <w:pPr>
        <w:spacing w:before="10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V. CHỈ TIÊU VÀ NGÀNH ĐÀO TẠO</w:t>
      </w:r>
    </w:p>
    <w:p>
      <w:pPr>
        <w:pStyle w:val="Heading2"/>
        <w:spacing w:before="200" w:after="80"/>
      </w:pPr>
      <w:r>
        <w:rPr>
          <w:rFonts w:ascii="Times New Roman" w:cs="Times New Roman" w:eastAsia="Times New Roman" w:hAnsi="Times New Roman"/>
          <w:b/>
          <w:bCs/>
          <w:color w:val="2E5496"/>
          <w:sz w:val="26"/>
          <w:szCs w:val="26"/>
        </w:rPr>
        <w:t xml:space="preserve">5.1. Trường Đại học Khoa học Tự nhiên – ĐHQG-HCM</w:t>
      </w:r>
    </w:p>
    <w:p>
      <w:pPr>
        <w:spacing w:before="60" w:after="60"/>
      </w:pPr>
      <w:r>
        <w:rPr>
          <w:rFonts w:ascii="Times New Roman" w:cs="Times New Roman" w:eastAsia="Times New Roman" w:hAnsi="Times New Roman"/>
          <w:b w:val="false"/>
          <w:bCs w:val="false"/>
          <w:i w:val="false"/>
          <w:iCs w:val="false"/>
          <w:sz w:val="24"/>
          <w:szCs w:val="24"/>
        </w:rPr>
        <w:t xml:space="preserve">Tổng chỉ tiêu dự kiến toàn trường năm 2026: trên 4.000 sinh viên. Danh mục ngành đào tạo và chỉ tiêu cụ thể như sau (CTTT: Chương trình tăng cường tiếng Anh):</w:t>
      </w:r>
    </w:p>
    <w:p>
      <w:pPr>
        <w:spacing w:before="80" w:after="0"/>
      </w:pPr>
      <w:r>
        <w:t xml:space="preserve"/>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450"/>
        <w:gridCol w:w="3800"/>
        <w:gridCol w:w="1100"/>
        <w:gridCol w:w="3650"/>
      </w:tblGrid>
      <w:tr>
        <w:trPr>
          <w:tblHeader/>
        </w:trPr>
        <w:tc>
          <w:tcPr>
            <w:tcW w:type="dxa" w:w="45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STT</w:t>
            </w:r>
          </w:p>
        </w:tc>
        <w:tc>
          <w:tcPr>
            <w:tcW w:type="dxa" w:w="380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Tên ngành / Nhóm ngành</w:t>
            </w:r>
          </w:p>
        </w:tc>
        <w:tc>
          <w:tcPr>
            <w:tcW w:type="dxa" w:w="110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Chỉ tiêu 2026</w:t>
            </w:r>
          </w:p>
        </w:tc>
        <w:tc>
          <w:tcPr>
            <w:tcW w:type="dxa" w:w="365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Tổ hợp xét tuyển (PT2)</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Sinh học</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215</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A02, B00, B03, B08, X15, X16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Sinh học (CTTT tiếng Anh)</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90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A02, B00, B03, B08, X15, X16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Sinh học</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200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A02, B00, B03, B08, X15, X16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4</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Sinh học (CTTT tiếng Anh)</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160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A02, B00, B03, B08, X15, X16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5</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 học (CTTT tiếng Anh)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140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6</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Nhóm ngành Vật lý học; Công nghệ Vật lý điện tử và tin học</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220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7</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Vật lý điện tử và tin học (CTTT tiếng Anh, dự kiến)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60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8</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bán dẫn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70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9</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Hoá học</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230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C02, D07, X11, X12</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10</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Hóa học (CTTT tiếng Anh)</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C02, D07, X11, X12</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11</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Vật liệu</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C01, C02, D07</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12</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Vật liệu (CTTT tiếng Anh)</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80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C01, C02, D07</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13</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Nhóm ngành Địa chất học; Kinh tế đất đai</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140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A07, C01, C04, D01, D10</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14</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Hải dương học</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15</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Hải dương học (CTTT tiếng Anh, dự kiến)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16</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Môi trường</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125</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D07, B08, X10, X14</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17</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Môi trường (CTTT tiếng Anh)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80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D07, B08, X10, X14</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18</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Nhóm ngành Toán học (Toán học, Toán ứng dụng, Toán tin)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180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B08, D01,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19</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ứng dụng (CTTT tiếng Anh, dự kiến)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B08, D01,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20</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tin (CTTT tiếng Anh, dự kiến)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B08, D01,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21</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Nhóm ngành Khoa học dữ liệu; Thống kê</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80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B08, D01,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22</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dữ liệu (CTTT tiếng Anh, dự kiến)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60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B08, D01,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23</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Khoa học máy tính (Chương trình tiên tiến)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90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B08, D07, X06, X26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24</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Trí tuệ nhân tạo</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90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B08, D07, X06, X26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25</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thông tin (CTTT tiếng Anh)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530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B08, D07, X06, X26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26</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Nhóm ngành CNTT (CNTT, Kỹ thuật phần mềm, Hệ thống thông tin, KHMT)</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490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B08, D07, X06, X26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27</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kỹ thuật Hoá học (CTTT tiếng Anh)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155</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C02, D07, X11, X12</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28</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Vật liệu</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180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C01, C02, D07</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29</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Vật liệu (CTTT tiếng Anh, dự kiến)</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60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C01, C02, D07</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30</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Kỹ thuật Môi trường</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125</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B08, D07, X10, X14</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31</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Kỹ thuật điện tử – viễn thông</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B08, X06, X26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32</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Thiết kế vi mạch</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80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B08, X06, X26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33</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Kỹ thuật điện tử – viễn thông (CTTT tiếng Anh)</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120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B08, X06, X26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34</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Kỹ thuật hạt nhân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60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35</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 y khoa</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36</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 y khoa (CTTT tiếng Anh, dự kiến)</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A02, A03, C01, X06</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37</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Kỹ thuật địa chất</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35</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A07, C01, C04, D01, D10</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38</w:t>
            </w:r>
          </w:p>
        </w:tc>
        <w:tc>
          <w:tcPr>
            <w:tcW w:type="dxa" w:w="38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Quản lý tài nguyên và môi trường</w:t>
            </w:r>
          </w:p>
        </w:tc>
        <w:tc>
          <w:tcPr>
            <w:tcW w:type="dxa" w:w="11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110</w:t>
            </w:r>
          </w:p>
        </w:tc>
        <w:tc>
          <w:tcPr>
            <w:tcW w:type="dxa" w:w="36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B00, D07, B08, X10, X14</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39</w:t>
            </w:r>
          </w:p>
        </w:tc>
        <w:tc>
          <w:tcPr>
            <w:tcW w:type="dxa" w:w="3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giáo dục</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A00, A01, B00, C01, D01, D07</w:t>
            </w:r>
          </w:p>
        </w:tc>
      </w:tr>
    </w:tbl>
    <w:p>
      <w:pPr>
        <w:spacing w:before="80" w:after="0"/>
      </w:pPr>
      <w:r>
        <w:t xml:space="preserve"/>
      </w:r>
    </w:p>
    <w:p>
      <w:pPr>
        <w:spacing w:before="60" w:after="60"/>
      </w:pPr>
      <w:r>
        <w:rPr>
          <w:rFonts w:ascii="Times New Roman" w:cs="Times New Roman" w:eastAsia="Times New Roman" w:hAnsi="Times New Roman"/>
          <w:b/>
          <w:bCs/>
          <w:i w:val="false"/>
          <w:iCs w:val="false"/>
          <w:sz w:val="24"/>
          <w:szCs w:val="24"/>
        </w:rPr>
        <w:t xml:space="preserve">Lưu ý tiêu chí phân ngành:</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Nhóm ngành Vật lý học, Nhóm ngành Địa chất: phân ngành sau khi học xong năm thứ nhất, dựa trên kết quả học tập năm 1.</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Nhóm ngành Khoa học dữ liệu: phân ngành sau khi học xong năm thứ hai, dựa trên kết quả học tập năm 1 và năm 2.</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Nhóm ngành Toán học, Nhóm ngành Máy tính và CNTT: phân ngành sau khi học năm 1, năm 2 (có thể cộng thêm học kỳ 1 năm 3).</w:t>
      </w:r>
    </w:p>
    <w:p>
      <w:pPr>
        <w:spacing w:before="8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5.2. Trường Đại học Sư phạm TP. HCM (HCMUE)</w:t>
      </w:r>
    </w:p>
    <w:p>
      <w:pPr>
        <w:spacing w:before="60" w:after="60"/>
      </w:pPr>
      <w:r>
        <w:rPr>
          <w:rFonts w:ascii="Times New Roman" w:cs="Times New Roman" w:eastAsia="Times New Roman" w:hAnsi="Times New Roman"/>
          <w:b w:val="false"/>
          <w:bCs w:val="false"/>
          <w:i w:val="false"/>
          <w:iCs w:val="false"/>
          <w:sz w:val="24"/>
          <w:szCs w:val="24"/>
        </w:rPr>
        <w:t xml:space="preserve">Bảng dưới đây tổng hợp các ngành sử dụng kết quả thi ĐGNL Chuyên biệt trong xét tuyển tại trụ sở chính và phân hiệu Long An, Gia Lai:</w:t>
      </w:r>
    </w:p>
    <w:p>
      <w:pPr>
        <w:spacing w:before="80" w:after="0"/>
      </w:pPr>
      <w:r>
        <w:t xml:space="preserve"/>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450"/>
        <w:gridCol w:w="4000"/>
        <w:gridCol w:w="1000"/>
        <w:gridCol w:w="3550"/>
      </w:tblGrid>
      <w:tr>
        <w:trPr>
          <w:tblHeader/>
        </w:trPr>
        <w:tc>
          <w:tcPr>
            <w:tcW w:type="dxa" w:w="45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STT</w:t>
            </w:r>
          </w:p>
        </w:tc>
        <w:tc>
          <w:tcPr>
            <w:tcW w:type="dxa" w:w="400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Tên ngành</w:t>
            </w:r>
          </w:p>
        </w:tc>
        <w:tc>
          <w:tcPr>
            <w:tcW w:type="dxa" w:w="100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Chỉ tiêu 2025</w:t>
            </w:r>
          </w:p>
        </w:tc>
        <w:tc>
          <w:tcPr>
            <w:tcW w:type="dxa" w:w="3550"/>
            <w:tcBorders>
              <w:top w:val="single" w:color="CCCCCC" w:sz="1"/>
              <w:left w:val="single" w:color="CCCCCC" w:sz="1"/>
              <w:bottom w:val="single" w:color="CCCCCC" w:sz="1"/>
              <w:right w:val="single" w:color="CCCCCC" w:sz="1"/>
            </w:tcBorders>
            <w:shd w:fill="1F3864"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Môn thi ĐGNLCB chính</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học / Công nghệ giáo dục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 / 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Quản lý giáo dục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Mầm non (ĐH &amp; CĐ)</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4</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Tiểu học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300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Ngữ văn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5</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Đặc biệt</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6</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Công dân / Chính trị</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 / 40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7</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Thể chất</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80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8</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Giáo dục Quốc phòng – An ninh</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Ngữ văn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9</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Toán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130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10</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Tin học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11</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Vật lý</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12</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Hoá học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Hóa học</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13</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Sinh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Sinh học</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14</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Ngữ văn</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15</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Địa lý</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40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16</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Tiếng Anh</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165</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Tiếng Anh</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17</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Tiếng Nga / Pháp / Trung</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30 / 30 / 30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Tiếng Anh</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18</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Công nghệ</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Vật lý / Sinh học</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19</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Khoa học tự nhiên</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 Vật lý / Hóa học / Sinh học</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20</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Sư phạm Lịch sử – Địa lý</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21</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Ngôn ngữ Anh</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200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Tiếng Anh</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22</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Ngôn ngữ Nga / Pháp / Trung / Nhật / Hàn</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100–200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Tiếng Anh</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23</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Văn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24</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Tâm lý học / Tâm lý học giáo dục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 / 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 / Toán / Tiếng Anh</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25</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Địa lý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26</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Quốc tế học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Tiếng Anh</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27</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Việt Nam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28</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Sinh học ứng dụng</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Sinh học</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29</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 học</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Vật lý</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30</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Hoá học</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Hóa học</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31</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 ứng dụng</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50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32</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nghệ thông tin</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150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Toán</w:t>
            </w:r>
          </w:p>
        </w:tc>
      </w:tr>
      <w:tr>
        <w:trPr>
          <w:tblHeader w:val="false"/>
        </w:trPr>
        <w:tc>
          <w:tcPr>
            <w:tcW w:type="dxa" w:w="4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33</w:t>
            </w:r>
          </w:p>
        </w:tc>
        <w:tc>
          <w:tcPr>
            <w:tcW w:type="dxa" w:w="4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Công tác xã hội</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r>
        <w:trPr>
          <w:tblHeader w:val="false"/>
        </w:trPr>
        <w:tc>
          <w:tcPr>
            <w:tcW w:type="dxa" w:w="4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34</w:t>
            </w:r>
          </w:p>
        </w:tc>
        <w:tc>
          <w:tcPr>
            <w:tcW w:type="dxa" w:w="4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Du lịch</w:t>
            </w:r>
          </w:p>
        </w:tc>
        <w:tc>
          <w:tcPr>
            <w:tcW w:type="dxa" w:w="100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center"/>
            </w:pPr>
            <w:r>
              <w:rPr>
                <w:rFonts w:ascii="Times New Roman" w:cs="Times New Roman" w:eastAsia="Times New Roman" w:hAnsi="Times New Roman"/>
                <w:b w:val="false"/>
                <w:bCs w:val="false"/>
                <w:color w:val="222222"/>
                <w:sz w:val="18"/>
                <w:szCs w:val="18"/>
              </w:rPr>
              <w:t xml:space="preserve">100</w:t>
            </w:r>
          </w:p>
        </w:tc>
        <w:tc>
          <w:tcPr>
            <w:tcW w:type="dxa" w:w="3550"/>
            <w:tcBorders>
              <w:top w:val="single" w:color="CCCCCC" w:sz="1"/>
              <w:left w:val="single" w:color="CCCCCC" w:sz="1"/>
              <w:bottom w:val="single" w:color="CCCCCC" w:sz="1"/>
              <w:right w:val="single" w:color="CCCCCC" w:sz="1"/>
            </w:tcBorders>
            <w:shd w:fill="EEF4FA" w:val="clear"/>
            <w:tcMar>
              <w:top w:type="dxa" w:w="60"/>
              <w:left w:type="dxa" w:w="100"/>
              <w:bottom w:type="dxa" w:w="60"/>
              <w:right w:type="dxa" w:w="100"/>
            </w:tcMar>
            <w:vAlign w:val="center"/>
          </w:tcPr>
          <w:p>
            <w:pPr>
              <w:jc w:val="left"/>
            </w:pPr>
            <w:r>
              <w:rPr>
                <w:rFonts w:ascii="Times New Roman" w:cs="Times New Roman" w:eastAsia="Times New Roman" w:hAnsi="Times New Roman"/>
                <w:b w:val="false"/>
                <w:bCs w:val="false"/>
                <w:color w:val="222222"/>
                <w:sz w:val="18"/>
                <w:szCs w:val="18"/>
              </w:rPr>
              <w:t xml:space="preserve">Ngữ văn</w:t>
            </w:r>
          </w:p>
        </w:tc>
      </w:tr>
    </w:tbl>
    <w:p>
      <w:pPr>
        <w:spacing w:before="10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VI. ĐIỂM CỘNG VÀ CHÍNH SÁCH ƯU TIÊN</w:t>
      </w:r>
    </w:p>
    <w:p>
      <w:pPr>
        <w:pStyle w:val="Heading2"/>
        <w:spacing w:before="200" w:after="80"/>
      </w:pPr>
      <w:r>
        <w:rPr>
          <w:rFonts w:ascii="Times New Roman" w:cs="Times New Roman" w:eastAsia="Times New Roman" w:hAnsi="Times New Roman"/>
          <w:b/>
          <w:bCs/>
          <w:color w:val="2E5496"/>
          <w:sz w:val="26"/>
          <w:szCs w:val="26"/>
        </w:rPr>
        <w:t xml:space="preserve">6.1. Điểm cộng thưởng học thuật (Trường KHTN)</w:t>
      </w:r>
    </w:p>
    <w:p>
      <w:pPr>
        <w:spacing w:before="60" w:after="60"/>
      </w:pPr>
      <w:r>
        <w:rPr>
          <w:rFonts w:ascii="Times New Roman" w:cs="Times New Roman" w:eastAsia="Times New Roman" w:hAnsi="Times New Roman"/>
          <w:b w:val="false"/>
          <w:bCs w:val="false"/>
          <w:i w:val="false"/>
          <w:iCs w:val="false"/>
          <w:sz w:val="24"/>
          <w:szCs w:val="24"/>
        </w:rPr>
        <w:t xml:space="preserve">Các giải thưởng học thuật được xem xét cộng điểm gồm: Toán, Vật lý, Hóa học, Sinh học, Tin học, Trí tuệ nhân tạo (VOAI), Tiếng Anh, Khoa học Kỹ thuật, và Địa lý (áp dụng riêng cho một số ngành liên quan).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Điểm cộng cơ sở tối đa: 5% thang điểm tối đa (tương đương 1,5 điểm trên thang 30).</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Đối với thí sinh có tổng điểm dưới 28,5: Điểm cộng = Điểm cộng cơ sở.</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Đối với thí sinh có tổng điểm từ 28,5 trở lên: Điểm cộng = [(30 – Tổng điểm) / 1,5] × Điểm cộng cơ sở.</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Thí sinh chỉ được tính một loại điểm cộng có mức cao nhất. Minh chứng phải gửi về Trường đúng thời hạn quy định.</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6.2. Quy đổi chứng chỉ ngoại ngữ quốc tế</w:t>
      </w:r>
    </w:p>
    <w:p>
      <w:pPr>
        <w:spacing w:before="60" w:after="60"/>
      </w:pPr>
      <w:r>
        <w:rPr>
          <w:rFonts w:ascii="Times New Roman" w:cs="Times New Roman" w:eastAsia="Times New Roman" w:hAnsi="Times New Roman"/>
          <w:b w:val="false"/>
          <w:bCs w:val="false"/>
          <w:i w:val="false"/>
          <w:iCs w:val="false"/>
          <w:sz w:val="24"/>
          <w:szCs w:val="24"/>
        </w:rPr>
        <w:t xml:space="preserve">Chứng chỉ IELTS hoặc TOEFL iBT được quy đổi sang điểm môn Tiếng Anh trong tổ hợp xét tuyển (chỉ áp dụng cho tổ hợp có môn Tiếng Anh). Mức quy đổi từ 4,5 IELTS trở lên theo quy định cụ thể trong thông báo tuyển sinh từng phương thức.</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6.3. Học bổng (Trường KHTN)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Học bổng toàn phần (miễn học phí toàn khóa): dành cho thí sinh đạt Giải nhất, Huy chương Vàng/Bạc/Đồng trong các kỳ thi Olympic quốc tế, học sinh giỏi quốc gia (Toán, Lý, Hóa, Sinh, Tin); hoặc thí sinh có điểm trúng tuyển cao nhất trong kỳ xét tuyển.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Học bổng từ 50–100% học phí năm đầu: dành cho thí sinh có thành tích cao hoặc điểm trúng tuyển cao vào các ngành phục vụ phát triển bền vững và chiến lược quốc gia.</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Học bổng khuyến khích học tập theo từng học kỳ: xét dựa trên kết quả học tập và rèn luyện, giá trị từ 100% học phí học kỳ trở lên.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Học bổng tài trợ từ cựu sinh viên, đơn vị đối tác, và các hình thức hỗ trợ tài chính khác.</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6.4. Chính sách ưu tiên đặc biệt (Trường HUIT – thông tin tham khảo)</w:t>
      </w:r>
    </w:p>
    <w:p>
      <w:pPr>
        <w:spacing w:before="60" w:after="60"/>
      </w:pPr>
      <w:r>
        <w:rPr>
          <w:rFonts w:ascii="Times New Roman" w:cs="Times New Roman" w:eastAsia="Times New Roman" w:hAnsi="Times New Roman"/>
          <w:b w:val="false"/>
          <w:bCs w:val="false"/>
          <w:i w:val="false"/>
          <w:iCs w:val="false"/>
          <w:sz w:val="24"/>
          <w:szCs w:val="24"/>
        </w:rPr>
        <w:t xml:space="preserve">Theo dự thảo phương án tuyển sinh 2026 của Trường Đại học Công Thương TP. HCM (HUIT), thí sinh trúng tuyển theo diện xét tuyển thẳng được hưởng:</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Miễn 100% học phí cho toàn bộ khóa học.</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Hỗ trợ sinh hoạt phí 3.000.000 đồng/tháng trong thời gian học tập.</w:t>
      </w:r>
    </w:p>
    <w:p>
      <w:pPr>
        <w:spacing w:before="10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VII. LỆ PHÍ VÀ QUY TRÌNH XÉT TUYỂN</w:t>
      </w:r>
    </w:p>
    <w:p>
      <w:pPr>
        <w:pStyle w:val="Heading2"/>
        <w:spacing w:before="200" w:after="80"/>
      </w:pPr>
      <w:r>
        <w:rPr>
          <w:rFonts w:ascii="Times New Roman" w:cs="Times New Roman" w:eastAsia="Times New Roman" w:hAnsi="Times New Roman"/>
          <w:b/>
          <w:bCs/>
          <w:color w:val="2E5496"/>
          <w:sz w:val="26"/>
          <w:szCs w:val="26"/>
        </w:rPr>
        <w:t xml:space="preserve">7.1. Lệ phí tuyển sinh</w:t>
      </w:r>
    </w:p>
    <w:p>
      <w:pPr>
        <w:spacing w:before="60" w:after="60"/>
      </w:pPr>
      <w:r>
        <w:rPr>
          <w:rFonts w:ascii="Times New Roman" w:cs="Times New Roman" w:eastAsia="Times New Roman" w:hAnsi="Times New Roman"/>
          <w:b w:val="false"/>
          <w:bCs w:val="false"/>
          <w:i w:val="false"/>
          <w:iCs w:val="false"/>
          <w:sz w:val="24"/>
          <w:szCs w:val="24"/>
        </w:rPr>
        <w:t xml:space="preserve">Từ ngày 15/7 đến 17 giờ 00 ngày 21/7/2026, thí sinh nộp lệ phí xét tuyển trực tuyến theo hướng dẫn của Bộ GD&amp;ĐT, tương ứng với số lượng nguyện vọng đăng ký.</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7.2. Điều kiện đặc biệt đối với ngành Thiết kế vi mạch và Công nghệ bán dẫn</w:t>
      </w:r>
    </w:p>
    <w:p>
      <w:pPr>
        <w:spacing w:before="60" w:after="60"/>
      </w:pPr>
      <w:r>
        <w:rPr>
          <w:rFonts w:ascii="Times New Roman" w:cs="Times New Roman" w:eastAsia="Times New Roman" w:hAnsi="Times New Roman"/>
          <w:b w:val="false"/>
          <w:bCs w:val="false"/>
          <w:i w:val="false"/>
          <w:iCs w:val="false"/>
          <w:sz w:val="24"/>
          <w:szCs w:val="24"/>
        </w:rPr>
        <w:t xml:space="preserve">Theo Quyết định 2101/QĐ-BGDĐT ngày 22/7/2025 của Bộ GD&amp;ĐT, thí sinh đăng ký vào hai ngành này phải đáp ứng thêm điều kiện: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Nếu xét theo Phương thức 1a, 1b: Điểm trung bình môn Toán 3 năm THPT phải đạt từ mức bằng hoặc vượt 20% điểm cao nhất môn Toán toàn quốc kỳ thi THPT 2026.</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Nếu xét theo Phương thức 2: Điểm thi môn Toán phải đạt từ mức bằng hoặc vượt 20% điểm cao nhất toàn quốc; đồng thời tổng điểm tổ hợp 3 môn phải nằm trong nhóm 25% cao nhất toàn quốc.</w:t>
      </w:r>
    </w:p>
    <w:p>
      <w:pPr>
        <w:spacing w:before="100" w:after="0"/>
      </w:pPr>
      <w:r>
        <w:t xml:space="preserve"/>
      </w:r>
    </w:p>
    <w:p>
      <w:pPr>
        <w:pStyle w:val="Heading1"/>
        <w:pBdr>
          <w:bottom w:val="single" w:color="2E5496" w:sz="8" w:space="4"/>
        </w:pBdr>
        <w:spacing w:before="280" w:after="120"/>
      </w:pPr>
      <w:r>
        <w:rPr>
          <w:rFonts w:ascii="Times New Roman" w:cs="Times New Roman" w:eastAsia="Times New Roman" w:hAnsi="Times New Roman"/>
          <w:b/>
          <w:bCs/>
          <w:color w:val="1F3864"/>
          <w:sz w:val="30"/>
          <w:szCs w:val="30"/>
        </w:rPr>
        <w:t xml:space="preserve">VIII. LỜI KHUYÊN VÀ LƯU Ý QUAN TRỌNG</w:t>
      </w:r>
    </w:p>
    <w:p>
      <w:pPr>
        <w:pStyle w:val="Heading2"/>
        <w:spacing w:before="200" w:after="80"/>
      </w:pPr>
      <w:r>
        <w:rPr>
          <w:rFonts w:ascii="Times New Roman" w:cs="Times New Roman" w:eastAsia="Times New Roman" w:hAnsi="Times New Roman"/>
          <w:b/>
          <w:bCs/>
          <w:color w:val="2E5496"/>
          <w:sz w:val="26"/>
          <w:szCs w:val="26"/>
        </w:rPr>
        <w:t xml:space="preserve">8.1. Lưu ý quan trọng cho thí sinh</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Tất cả thí sinh phải đăng ký nguyện vọng trên Hệ thống hỗ trợ tuyển sinh của Bộ GD&amp;ĐT, kể cả diện xét tuyển thẳng.</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Hồ sơ và minh chứng điểm cộng, chứng chỉ ngoại ngữ phải được gửi về Trường đúng thời hạn quy định trong thông báo tuyển sinh của từng phương thức. Minh chứng gửi trễ sẽ không được công nhận.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Thí sinh chịu trách nhiệm về tính chính xác của mọi thông tin khai báo trong hồ sơ.</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Kết quả kỳ thi ĐGNL Chuyên biệt của HCMUE từ các đợt thi năm 2024 và 2025 đều có thể sử dụng để xét tuyển vào Trường HCMUE năm 2025 (cần kiểm tra điều kiện cụ thể theo từng ngành).</w:t>
      </w:r>
    </w:p>
    <w:p>
      <w:pPr>
        <w:spacing w:before="60" w:after="0"/>
      </w:pPr>
      <w:r>
        <w:t xml:space="preserve"/>
      </w:r>
    </w:p>
    <w:p>
      <w:pPr>
        <w:pStyle w:val="Heading2"/>
        <w:spacing w:before="200" w:after="80"/>
      </w:pPr>
      <w:r>
        <w:rPr>
          <w:rFonts w:ascii="Times New Roman" w:cs="Times New Roman" w:eastAsia="Times New Roman" w:hAnsi="Times New Roman"/>
          <w:b/>
          <w:bCs/>
          <w:color w:val="2E5496"/>
          <w:sz w:val="26"/>
          <w:szCs w:val="26"/>
        </w:rPr>
        <w:t xml:space="preserve">8.2. Khuyến nghị cho thí sinh</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Duy trì điểm học bạ tốt trong suốt 3 năm THPT để nâng cao lợi thế xét tuyển kết hợp.</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Tích cực ôn thi tốt nghiệp THPT, đặc biệt là các môn thuộc tổ hợp xét tuyển của ngành mục tiêu.</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Cân nhắc đăng ký tham dự Kỳ thi ĐGNL của ĐHQG-HCM hoặc Kỳ thi ĐGNL Chuyên biệt của HCMUE để mở rộng cơ hội trúng tuyển.</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Ưu tiên củng cố kiến thức môn Toán, đây là môn cốt lõi cho đa số ngành tuyển sinh.</w:t>
      </w:r>
    </w:p>
    <w:p>
      <w:pPr>
        <w:pStyle w:val="ListParagraph"/>
        <w:numPr>
          <w:ilvl w:val="0"/>
          <w:numId w:val="2"/>
        </w:numPr>
        <w:spacing w:before="40" w:after="40"/>
        <w:ind w:left="360" w:hanging="360"/>
      </w:pPr>
      <w:r>
        <w:rPr>
          <w:rFonts w:ascii="Times New Roman" w:cs="Times New Roman" w:eastAsia="Times New Roman" w:hAnsi="Times New Roman"/>
          <w:sz w:val="24"/>
          <w:szCs w:val="24"/>
        </w:rPr>
        <w:t xml:space="preserve">Không nên phụ thuộc hoàn toàn vào chính sách học bổng hay ưu đãi; cần xác định rõ mục tiêu học tập và chủ động chuẩn bị năng lực cá nhân.</w:t>
      </w:r>
    </w:p>
    <w:p>
      <w:pPr>
        <w:spacing w:before="80" w:after="0"/>
      </w:pPr>
      <w:r>
        <w:t xml:space="preserve"/>
      </w:r>
    </w:p>
    <w:p>
      <w:pPr>
        <w:pBdr>
          <w:top w:val="single" w:color="2E5496" w:sz="8" w:space="4"/>
          <w:bottom w:val="single" w:color="2E5496" w:sz="8" w:space="4"/>
          <w:left w:val="single" w:color="1F3864" w:sz="20" w:space="8"/>
          <w:right w:val="single" w:color="2E5496" w:sz="8" w:space="4"/>
        </w:pBdr>
        <w:spacing w:before="120" w:after="60"/>
      </w:pPr>
      <w:r>
        <w:rPr>
          <w:rFonts w:ascii="Times New Roman" w:cs="Times New Roman" w:eastAsia="Times New Roman" w:hAnsi="Times New Roman"/>
          <w:b/>
          <w:bCs/>
          <w:color w:val="1F3864"/>
          <w:sz w:val="24"/>
          <w:szCs w:val="24"/>
        </w:rPr>
        <w:t xml:space="preserve">THÔNG TIN LIÊN HỆ HỖ TRỢ KỲ THI ĐGNL CHUYÊN BIỆT (HCMUE)</w:t>
      </w:r>
    </w:p>
    <w:p>
      <w:pPr>
        <w:spacing w:before="60" w:after="40"/>
        <w:ind w:left="360"/>
      </w:pPr>
      <w:r>
        <w:rPr>
          <w:rFonts w:ascii="Times New Roman" w:cs="Times New Roman" w:eastAsia="Times New Roman" w:hAnsi="Times New Roman"/>
          <w:color w:val="333333"/>
          <w:sz w:val="22"/>
          <w:szCs w:val="22"/>
        </w:rPr>
        <w:t xml:space="preserve">Hotline: 08 3835 2020  |  Email: dgnl.hotro@hcmue.edu.vn  |  Website: dgnl.hcmue.edu.vn</w:t>
      </w:r>
    </w:p>
    <w:sectPr>
      <w:headerReference w:type="default" r:id="rId6"/>
      <w:footerReference w:type="default" r:id="rId7"/>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496" w:sz="4" w:space="4"/>
      </w:pBdr>
      <w:spacing w:before="80" w:after="0"/>
      <w:jc w:val="center"/>
    </w:pPr>
    <w:r>
      <w:rPr>
        <w:rFonts w:ascii="Times New Roman" w:cs="Times New Roman" w:eastAsia="Times New Roman" w:hAnsi="Times New Roman"/>
        <w:color w:val="555555"/>
        <w:sz w:val="18"/>
        <w:szCs w:val="18"/>
      </w:rPr>
      <w:t xml:space="preserve">Trang </w:t>
    </w:r>
    <w:r>
      <w:rPr>
        <w:rFonts w:ascii="Times New Roman" w:cs="Times New Roman" w:eastAsia="Times New Roman" w:hAnsi="Times New Roman"/>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496" w:sz="4" w:space="4"/>
      </w:pBdr>
      <w:spacing w:before="0" w:after="80"/>
      <w:jc w:val="right"/>
    </w:pPr>
    <w:r>
      <w:rPr>
        <w:rFonts w:ascii="Times New Roman" w:cs="Times New Roman" w:eastAsia="Times New Roman" w:hAnsi="Times New Roman"/>
        <w:i/>
        <w:iCs/>
        <w:color w:val="2E5496"/>
        <w:sz w:val="18"/>
        <w:szCs w:val="18"/>
      </w:rPr>
      <w:t xml:space="preserve">THÔNG TIN TUYỂN SINH 2026 – HCMUE &amp; KHTN-ĐHQG-HCM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rPr>
        <w:rFonts w:ascii="Times New Roman" w:cs="Times New Roman" w:eastAsia="Times New Roman" w:hAnsi="Times New Roman"/>
        <w:sz w:val="24"/>
        <w:szCs w:val="2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20"/>
      <w:outlineLvl w:val="0"/>
    </w:pPr>
    <w:rPr>
      <w:rFonts w:ascii="Times New Roman" w:cs="Times New Roman" w:eastAsia="Times New Roman" w:hAnsi="Times New Roman"/>
      <w:b/>
      <w:bCs/>
      <w:color w:val="1F3864"/>
      <w:sz w:val="30"/>
      <w:szCs w:val="30"/>
    </w:rPr>
  </w:style>
  <w:style w:type="paragraph" w:styleId="Heading2">
    <w:name w:val="Heading 2"/>
    <w:basedOn w:val="Normal"/>
    <w:next w:val="Normal"/>
    <w:qFormat/>
    <w:pPr>
      <w:spacing w:before="200" w:after="80"/>
      <w:outlineLvl w:val="1"/>
    </w:pPr>
    <w:rPr>
      <w:rFonts w:ascii="Times New Roman" w:cs="Times New Roman" w:eastAsia="Times New Roman" w:hAnsi="Times New Roman"/>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2026-03-27T12:26:27.574Z</dcterms:created>
  <dcterms:modified xsi:type="dcterms:W3CDTF">2026-03-27T12:26:27.574Z</dcterms:modified>
</cp:coreProperties>
</file>

<file path=docProps/custom.xml><?xml version="1.0" encoding="utf-8"?>
<Properties xmlns="http://schemas.openxmlformats.org/officeDocument/2006/custom-properties" xmlns:vt="http://schemas.openxmlformats.org/officeDocument/2006/docPropsVTypes"/>
</file>